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BE4207">
        <w:rPr>
          <w:rFonts w:ascii="Times New Roman" w:hAnsi="Times New Roman" w:cs="Times New Roman"/>
          <w:b/>
          <w:sz w:val="24"/>
          <w:szCs w:val="24"/>
        </w:rPr>
        <w:t>Strużnica</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6B549F">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BE4207">
        <w:rPr>
          <w:rFonts w:ascii="Times New Roman" w:hAnsi="Times New Roman" w:cs="Times New Roman"/>
          <w:sz w:val="24"/>
          <w:szCs w:val="24"/>
        </w:rPr>
        <w:t>Strużnica</w:t>
      </w:r>
      <w:r w:rsidRPr="00626300">
        <w:rPr>
          <w:rFonts w:ascii="Times New Roman" w:hAnsi="Times New Roman" w:cs="Times New Roman"/>
          <w:sz w:val="24"/>
          <w:szCs w:val="24"/>
        </w:rPr>
        <w:t xml:space="preserve"> w jej granicach geodezyjnych.</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6B549F" w:rsidRPr="00626300" w:rsidRDefault="006B549F" w:rsidP="00B15EEE">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BE4207">
        <w:rPr>
          <w:rFonts w:ascii="Times New Roman" w:hAnsi="Times New Roman" w:cs="Times New Roman"/>
          <w:sz w:val="24"/>
          <w:szCs w:val="24"/>
        </w:rPr>
        <w:t>Strużnica</w:t>
      </w:r>
      <w:r w:rsidRPr="00626300">
        <w:rPr>
          <w:rFonts w:ascii="Times New Roman" w:hAnsi="Times New Roman" w:cs="Times New Roman"/>
          <w:sz w:val="24"/>
          <w:szCs w:val="24"/>
        </w:rPr>
        <w:t>,</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BE4207">
        <w:rPr>
          <w:rFonts w:ascii="Times New Roman" w:hAnsi="Times New Roman" w:cs="Times New Roman"/>
          <w:sz w:val="24"/>
          <w:szCs w:val="24"/>
        </w:rPr>
        <w:t>Strużnica</w:t>
      </w:r>
      <w:r w:rsidRPr="00626300">
        <w:rPr>
          <w:rFonts w:ascii="Times New Roman" w:hAnsi="Times New Roman" w:cs="Times New Roman"/>
          <w:sz w:val="24"/>
          <w:szCs w:val="24"/>
        </w:rPr>
        <w:t>,</w:t>
      </w:r>
    </w:p>
    <w:p w:rsidR="006B549F" w:rsidRPr="00626300" w:rsidRDefault="006B549F" w:rsidP="00B15EEE">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BE4207">
        <w:rPr>
          <w:rFonts w:ascii="Times New Roman" w:hAnsi="Times New Roman" w:cs="Times New Roman"/>
          <w:sz w:val="24"/>
          <w:szCs w:val="24"/>
        </w:rPr>
        <w:t>Strużnica</w:t>
      </w:r>
      <w:r w:rsidRPr="00626300">
        <w:rPr>
          <w:rFonts w:ascii="Times New Roman" w:hAnsi="Times New Roman" w:cs="Times New Roman"/>
          <w:sz w:val="24"/>
          <w:szCs w:val="24"/>
        </w:rPr>
        <w:t>.</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6B549F" w:rsidRPr="00626300" w:rsidRDefault="006B549F" w:rsidP="00B15EEE">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6B549F" w:rsidRPr="00626300" w:rsidRDefault="006B549F" w:rsidP="00B15EEE">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6B549F" w:rsidRPr="00626300" w:rsidRDefault="006B549F" w:rsidP="00B15EEE">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6B549F" w:rsidRPr="00626300" w:rsidRDefault="006B549F" w:rsidP="00B15EEE">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6B549F" w:rsidRPr="00626300" w:rsidRDefault="006B549F" w:rsidP="00B15EEE">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6B549F" w:rsidRPr="00626300" w:rsidRDefault="006B549F" w:rsidP="00B15EEE">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6B549F" w:rsidRPr="00626300" w:rsidRDefault="006B549F" w:rsidP="00B15EEE">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6B549F" w:rsidRPr="00626300" w:rsidRDefault="006B549F" w:rsidP="00B15EEE">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6B549F" w:rsidRPr="00626300" w:rsidRDefault="006B549F" w:rsidP="00B15EEE">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6B549F" w:rsidRPr="00626300" w:rsidRDefault="006B549F" w:rsidP="00B15EEE">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6B549F" w:rsidRPr="00626300" w:rsidRDefault="006B549F" w:rsidP="006B549F">
      <w:pPr>
        <w:pStyle w:val="Akapitzlist"/>
        <w:spacing w:after="0"/>
        <w:ind w:left="405"/>
        <w:jc w:val="both"/>
        <w:rPr>
          <w:rFonts w:ascii="Times New Roman" w:hAnsi="Times New Roman" w:cs="Times New Roman"/>
          <w:sz w:val="24"/>
          <w:szCs w:val="24"/>
        </w:rPr>
      </w:pPr>
    </w:p>
    <w:p w:rsidR="006B549F" w:rsidRPr="00626300" w:rsidRDefault="006B549F" w:rsidP="00B15EEE">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6B549F" w:rsidRPr="00626300" w:rsidRDefault="006B549F" w:rsidP="006B549F">
      <w:pPr>
        <w:pStyle w:val="Akapitzlist"/>
        <w:spacing w:after="0"/>
        <w:ind w:left="405"/>
        <w:jc w:val="both"/>
        <w:rPr>
          <w:rFonts w:ascii="Times New Roman" w:hAnsi="Times New Roman" w:cs="Times New Roman"/>
          <w:sz w:val="24"/>
          <w:szCs w:val="24"/>
        </w:rPr>
      </w:pPr>
    </w:p>
    <w:p w:rsidR="006B549F" w:rsidRPr="00626300" w:rsidRDefault="006B549F" w:rsidP="00B15EEE">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6B549F" w:rsidRPr="00626300" w:rsidRDefault="006B549F" w:rsidP="00B15EEE">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6B549F" w:rsidRPr="00626300" w:rsidRDefault="006B549F" w:rsidP="00B15EEE">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6B549F" w:rsidRPr="00626300" w:rsidRDefault="006B549F" w:rsidP="00B15EEE">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6B549F" w:rsidRPr="00626300" w:rsidRDefault="006B549F" w:rsidP="00B15EEE">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B15EEE">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6B549F" w:rsidRPr="00626300" w:rsidRDefault="006B549F" w:rsidP="006B549F">
      <w:pPr>
        <w:pStyle w:val="Akapitzlist"/>
        <w:spacing w:after="0"/>
        <w:ind w:left="405"/>
        <w:jc w:val="both"/>
        <w:rPr>
          <w:rFonts w:ascii="Times New Roman" w:hAnsi="Times New Roman" w:cs="Times New Roman"/>
          <w:sz w:val="24"/>
          <w:szCs w:val="24"/>
        </w:rPr>
      </w:pPr>
    </w:p>
    <w:p w:rsidR="006B549F" w:rsidRPr="00626300" w:rsidRDefault="006B549F" w:rsidP="00B15EEE">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6B549F" w:rsidRPr="00626300" w:rsidRDefault="006B549F" w:rsidP="006B549F">
      <w:pPr>
        <w:pStyle w:val="Akapitzlist"/>
        <w:spacing w:after="0"/>
        <w:ind w:left="405"/>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6B549F" w:rsidRPr="00626300" w:rsidRDefault="006B549F" w:rsidP="00B15EEE">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6B549F" w:rsidRPr="00626300" w:rsidRDefault="006B549F" w:rsidP="00B15EEE">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6B549F" w:rsidRPr="00626300" w:rsidRDefault="006B549F" w:rsidP="00B15EEE">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6B549F" w:rsidRPr="00626300" w:rsidRDefault="006B549F" w:rsidP="00B15EEE">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6B549F" w:rsidRPr="00626300" w:rsidRDefault="006B549F" w:rsidP="00B15EEE">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6B549F" w:rsidRPr="00626300" w:rsidRDefault="006B549F" w:rsidP="00B15EEE">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B15EEE">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6B549F" w:rsidRPr="00626300" w:rsidRDefault="006B549F" w:rsidP="00B15EEE">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6B549F" w:rsidRPr="00626300" w:rsidRDefault="006B549F" w:rsidP="006B549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6B549F" w:rsidRPr="00626300" w:rsidRDefault="006B549F" w:rsidP="00B15EEE">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6B549F" w:rsidRPr="00626300" w:rsidRDefault="006B549F" w:rsidP="00B15EEE">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6B549F" w:rsidRPr="00626300" w:rsidRDefault="006B549F" w:rsidP="00B15EEE">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6B549F" w:rsidRPr="00626300" w:rsidRDefault="006B549F" w:rsidP="00B15EEE">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6B549F" w:rsidRPr="00626300" w:rsidRDefault="006B549F" w:rsidP="00B15EEE">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6B549F" w:rsidRPr="00626300" w:rsidRDefault="006B549F" w:rsidP="00B15EEE">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6B549F" w:rsidRPr="00626300" w:rsidRDefault="006B549F" w:rsidP="00B15EEE">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6B549F" w:rsidRPr="00626300" w:rsidRDefault="006B549F" w:rsidP="00B15EEE">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6B549F" w:rsidRPr="00626300" w:rsidRDefault="006B549F" w:rsidP="00B15EEE">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6B549F" w:rsidRPr="00626300" w:rsidRDefault="006B549F" w:rsidP="00B15EEE">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6B549F" w:rsidRPr="00626300" w:rsidRDefault="006B549F" w:rsidP="006B549F">
      <w:pPr>
        <w:pStyle w:val="Akapitzlist"/>
        <w:spacing w:after="0"/>
        <w:ind w:left="100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6B549F" w:rsidRPr="00626300" w:rsidRDefault="006B549F" w:rsidP="006B549F">
      <w:pPr>
        <w:spacing w:after="0"/>
        <w:jc w:val="both"/>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6B549F" w:rsidRPr="00626300" w:rsidRDefault="006B549F" w:rsidP="00B15EEE">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6B549F" w:rsidRPr="00626300" w:rsidRDefault="006B549F" w:rsidP="00B15EEE">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6B549F" w:rsidRPr="00626300" w:rsidRDefault="006B549F" w:rsidP="006B549F">
      <w:pPr>
        <w:pStyle w:val="Akapitzlist"/>
        <w:spacing w:after="0"/>
        <w:ind w:left="-76"/>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6B549F" w:rsidRPr="00626300" w:rsidRDefault="006B549F" w:rsidP="00B15EEE">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6B549F" w:rsidRPr="00626300" w:rsidRDefault="006B549F" w:rsidP="00B15EEE">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6B549F" w:rsidRPr="00626300" w:rsidRDefault="006B549F" w:rsidP="006B549F">
      <w:pPr>
        <w:pStyle w:val="Akapitzlist"/>
        <w:spacing w:after="0"/>
        <w:ind w:left="993"/>
        <w:jc w:val="both"/>
        <w:rPr>
          <w:rFonts w:ascii="Times New Roman" w:hAnsi="Times New Roman" w:cs="Times New Roman"/>
          <w:sz w:val="24"/>
          <w:szCs w:val="24"/>
        </w:rPr>
      </w:pPr>
    </w:p>
    <w:p w:rsidR="006B549F" w:rsidRPr="00626300" w:rsidRDefault="006B549F" w:rsidP="00B15EEE">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6B549F" w:rsidRPr="00626300" w:rsidRDefault="006B549F" w:rsidP="00B15EEE">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6B549F" w:rsidRPr="00626300" w:rsidRDefault="006B549F" w:rsidP="006B549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303D44">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6B549F" w:rsidRPr="00626300" w:rsidRDefault="006B549F" w:rsidP="00B15EEE">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6B549F" w:rsidRPr="00626300" w:rsidRDefault="006B549F" w:rsidP="00B15EEE">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6B549F" w:rsidRPr="00626300" w:rsidRDefault="006B549F" w:rsidP="00B15EEE">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6B549F" w:rsidRPr="00626300" w:rsidRDefault="006B549F" w:rsidP="00B15EEE">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6B549F" w:rsidRPr="00626300" w:rsidRDefault="006B549F" w:rsidP="00B15EEE">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6B549F" w:rsidRPr="00626300" w:rsidRDefault="006B549F" w:rsidP="00B15EEE">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303D44">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6B549F" w:rsidRPr="00626300" w:rsidRDefault="006B549F" w:rsidP="006B549F">
      <w:pPr>
        <w:pStyle w:val="Akapitzlist"/>
        <w:spacing w:after="0"/>
        <w:ind w:left="284"/>
        <w:jc w:val="both"/>
        <w:rPr>
          <w:rFonts w:ascii="Times New Roman" w:hAnsi="Times New Roman" w:cs="Times New Roman"/>
          <w:color w:val="FF0000"/>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6B549F"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6B549F" w:rsidRPr="00626300" w:rsidRDefault="006B549F" w:rsidP="006B549F">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6B549F" w:rsidRPr="00626300" w:rsidRDefault="006B549F" w:rsidP="00B15EEE">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6B549F" w:rsidRPr="00626300" w:rsidRDefault="006B549F" w:rsidP="00B15EEE">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6B549F" w:rsidRPr="00626300" w:rsidRDefault="006B549F" w:rsidP="00B15EEE">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6B549F" w:rsidRPr="00626300" w:rsidRDefault="006B549F" w:rsidP="006B549F">
      <w:pPr>
        <w:pStyle w:val="Akapitzlist"/>
        <w:spacing w:after="0"/>
        <w:ind w:left="1050"/>
        <w:jc w:val="both"/>
        <w:rPr>
          <w:rFonts w:ascii="Times New Roman" w:hAnsi="Times New Roman" w:cs="Times New Roman"/>
          <w:sz w:val="24"/>
          <w:szCs w:val="24"/>
        </w:rPr>
      </w:pPr>
    </w:p>
    <w:p w:rsidR="006B549F" w:rsidRPr="00626300" w:rsidRDefault="00303D44" w:rsidP="00B15EEE">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6B549F" w:rsidRPr="00626300">
        <w:rPr>
          <w:rFonts w:ascii="Times New Roman" w:hAnsi="Times New Roman" w:cs="Times New Roman"/>
          <w:sz w:val="24"/>
          <w:szCs w:val="24"/>
        </w:rPr>
        <w:t xml:space="preserve">, </w:t>
      </w:r>
      <w:r w:rsidR="006B549F" w:rsidRPr="00626300">
        <w:rPr>
          <w:rFonts w:ascii="Times New Roman" w:hAnsi="Times New Roman" w:cs="Times New Roman"/>
          <w:sz w:val="24"/>
          <w:szCs w:val="24"/>
          <w:u w:val="single"/>
        </w:rPr>
        <w:t>przy zgłoszeniu jednego kandydata</w:t>
      </w:r>
      <w:r w:rsidR="006B549F" w:rsidRPr="00626300">
        <w:rPr>
          <w:rFonts w:ascii="Times New Roman" w:hAnsi="Times New Roman" w:cs="Times New Roman"/>
          <w:sz w:val="24"/>
          <w:szCs w:val="24"/>
        </w:rPr>
        <w:t xml:space="preserve"> na Sołtysa przeprowadza się następująco:</w:t>
      </w:r>
    </w:p>
    <w:p w:rsidR="006B549F" w:rsidRPr="00626300" w:rsidRDefault="006B549F" w:rsidP="00B15EEE">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6B549F" w:rsidRPr="00626300" w:rsidRDefault="006B549F" w:rsidP="00B15EEE">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6B549F" w:rsidRPr="00626300" w:rsidRDefault="006B549F" w:rsidP="00B15EEE">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6B549F" w:rsidRPr="00626300" w:rsidRDefault="006B549F" w:rsidP="00B15EEE">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6B549F" w:rsidRPr="00626300" w:rsidRDefault="006B549F" w:rsidP="006B549F">
      <w:pPr>
        <w:pStyle w:val="Akapitzlist"/>
        <w:spacing w:after="0"/>
        <w:ind w:left="1004"/>
        <w:jc w:val="both"/>
        <w:rPr>
          <w:rFonts w:ascii="Times New Roman" w:hAnsi="Times New Roman" w:cs="Times New Roman"/>
          <w:sz w:val="24"/>
          <w:szCs w:val="24"/>
        </w:rPr>
      </w:pPr>
    </w:p>
    <w:p w:rsidR="006B549F" w:rsidRPr="00626300" w:rsidRDefault="006B549F" w:rsidP="00B15EEE">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6B549F" w:rsidRPr="00626300" w:rsidRDefault="006B549F" w:rsidP="00B15EEE">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6B549F" w:rsidRDefault="006B549F" w:rsidP="00B15EEE">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6B549F" w:rsidRPr="00626300" w:rsidRDefault="006B549F" w:rsidP="006B549F">
      <w:pPr>
        <w:pStyle w:val="Akapitzlist"/>
        <w:spacing w:after="0"/>
        <w:ind w:left="1004"/>
        <w:jc w:val="both"/>
        <w:rPr>
          <w:rFonts w:ascii="Times New Roman" w:hAnsi="Times New Roman" w:cs="Times New Roman"/>
          <w:sz w:val="24"/>
          <w:szCs w:val="24"/>
        </w:rPr>
      </w:pPr>
    </w:p>
    <w:p w:rsidR="006B549F" w:rsidRPr="00626300" w:rsidRDefault="006B549F" w:rsidP="00B15EEE">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6B549F" w:rsidRPr="00626300" w:rsidRDefault="006B549F" w:rsidP="00B15EEE">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6B549F" w:rsidRPr="00626300" w:rsidRDefault="006B549F" w:rsidP="00B15EEE">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6B549F" w:rsidRPr="00626300" w:rsidRDefault="006B549F" w:rsidP="00B15EEE">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6B549F" w:rsidRPr="00626300" w:rsidRDefault="006B549F" w:rsidP="00B15EEE">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303D44">
        <w:rPr>
          <w:rFonts w:ascii="Times New Roman" w:hAnsi="Times New Roman" w:cs="Times New Roman"/>
          <w:sz w:val="24"/>
          <w:szCs w:val="24"/>
        </w:rPr>
        <w:t>ymali największą liczbę głosów,</w:t>
      </w:r>
    </w:p>
    <w:p w:rsidR="006B549F" w:rsidRPr="00626300" w:rsidRDefault="006B549F" w:rsidP="00B15EEE">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6B549F" w:rsidRPr="00626300" w:rsidRDefault="006B549F" w:rsidP="00B15EEE">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303D44">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6B549F" w:rsidRPr="00626300" w:rsidRDefault="006B549F" w:rsidP="006B549F">
      <w:pPr>
        <w:pStyle w:val="Akapitzlist"/>
        <w:spacing w:after="0"/>
        <w:jc w:val="both"/>
        <w:rPr>
          <w:rFonts w:ascii="Times New Roman" w:hAnsi="Times New Roman" w:cs="Times New Roman"/>
          <w:sz w:val="24"/>
          <w:szCs w:val="24"/>
        </w:rPr>
      </w:pPr>
    </w:p>
    <w:p w:rsidR="006B549F" w:rsidRPr="00626300" w:rsidRDefault="006B549F" w:rsidP="00B15EEE">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6B549F" w:rsidRPr="00626300" w:rsidRDefault="006B549F" w:rsidP="006B549F">
      <w:pPr>
        <w:pStyle w:val="Akapitzlist"/>
        <w:spacing w:after="0"/>
        <w:ind w:left="284"/>
        <w:jc w:val="both"/>
        <w:rPr>
          <w:rFonts w:ascii="Times New Roman" w:hAnsi="Times New Roman" w:cs="Times New Roman"/>
          <w:color w:val="FF0000"/>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6B549F" w:rsidRPr="00626300" w:rsidRDefault="006B549F" w:rsidP="00B15EEE">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6B549F" w:rsidRPr="00626300" w:rsidRDefault="006B549F" w:rsidP="00B15EEE">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6B549F" w:rsidRPr="00626300" w:rsidRDefault="006B549F" w:rsidP="00B15EEE">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6B549F" w:rsidRPr="00626300" w:rsidRDefault="006B549F" w:rsidP="00B15EEE">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6B549F" w:rsidRPr="00626300" w:rsidRDefault="006B549F" w:rsidP="006B549F">
      <w:pPr>
        <w:pStyle w:val="Akapitzlist"/>
        <w:spacing w:after="0"/>
        <w:ind w:left="1410"/>
        <w:rPr>
          <w:rFonts w:ascii="Times New Roman" w:hAnsi="Times New Roman" w:cs="Times New Roman"/>
          <w:sz w:val="24"/>
          <w:szCs w:val="24"/>
        </w:rPr>
      </w:pPr>
    </w:p>
    <w:p w:rsidR="006B549F" w:rsidRPr="00626300" w:rsidRDefault="006B549F" w:rsidP="00B15EEE">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6B549F" w:rsidRPr="00626300" w:rsidRDefault="006B549F" w:rsidP="006B549F">
      <w:pPr>
        <w:pStyle w:val="Akapitzlist"/>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6B549F" w:rsidRPr="00626300" w:rsidRDefault="006B549F" w:rsidP="00B15EEE">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6B549F" w:rsidRPr="00626300" w:rsidRDefault="006B549F" w:rsidP="00B15EEE">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6B549F" w:rsidRPr="00626300" w:rsidRDefault="006B549F" w:rsidP="00B15EEE">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6B549F" w:rsidRPr="00626300" w:rsidRDefault="006B549F" w:rsidP="006B549F">
      <w:pPr>
        <w:spacing w:after="0"/>
        <w:jc w:val="both"/>
        <w:rPr>
          <w:rFonts w:ascii="Times New Roman" w:hAnsi="Times New Roman" w:cs="Times New Roman"/>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6B549F" w:rsidRPr="00626300" w:rsidRDefault="006B549F" w:rsidP="006B549F">
      <w:pPr>
        <w:pStyle w:val="Akapitzlist"/>
        <w:spacing w:after="0"/>
        <w:jc w:val="both"/>
        <w:rPr>
          <w:rFonts w:ascii="Times New Roman" w:hAnsi="Times New Roman" w:cs="Times New Roman"/>
          <w:i/>
          <w:sz w:val="24"/>
          <w:szCs w:val="24"/>
        </w:rPr>
      </w:pP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6B549F" w:rsidRPr="00626300" w:rsidRDefault="006B549F" w:rsidP="006B549F">
      <w:pPr>
        <w:pStyle w:val="Akapitzlist"/>
        <w:spacing w:after="0"/>
        <w:jc w:val="both"/>
        <w:rPr>
          <w:rFonts w:ascii="Times New Roman" w:hAnsi="Times New Roman" w:cs="Times New Roman"/>
          <w:i/>
          <w:sz w:val="24"/>
          <w:szCs w:val="24"/>
        </w:rPr>
      </w:pP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6B549F" w:rsidRPr="00626300" w:rsidRDefault="006B549F" w:rsidP="006B549F">
      <w:pPr>
        <w:pStyle w:val="Akapitzlist"/>
        <w:spacing w:after="0"/>
        <w:jc w:val="both"/>
        <w:rPr>
          <w:rFonts w:ascii="Times New Roman" w:hAnsi="Times New Roman" w:cs="Times New Roman"/>
          <w:i/>
          <w:sz w:val="24"/>
          <w:szCs w:val="24"/>
        </w:rPr>
      </w:pP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6B549F" w:rsidRPr="00626300" w:rsidRDefault="006B549F" w:rsidP="006B549F">
      <w:pPr>
        <w:pStyle w:val="Akapitzlist"/>
        <w:spacing w:after="0"/>
        <w:jc w:val="both"/>
        <w:rPr>
          <w:rFonts w:ascii="Times New Roman" w:hAnsi="Times New Roman" w:cs="Times New Roman"/>
          <w:i/>
          <w:sz w:val="24"/>
          <w:szCs w:val="24"/>
        </w:rPr>
      </w:pP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6B549F" w:rsidRPr="00626300" w:rsidRDefault="006B549F" w:rsidP="006B549F">
      <w:pPr>
        <w:pStyle w:val="Akapitzlist"/>
        <w:spacing w:after="0"/>
        <w:jc w:val="both"/>
        <w:rPr>
          <w:rFonts w:ascii="Times New Roman" w:hAnsi="Times New Roman" w:cs="Times New Roman"/>
          <w:i/>
          <w:sz w:val="24"/>
          <w:szCs w:val="24"/>
        </w:rPr>
      </w:pPr>
    </w:p>
    <w:p w:rsidR="006B549F" w:rsidRPr="00626300" w:rsidRDefault="006B549F" w:rsidP="00B15EEE">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6B549F" w:rsidRPr="00626300" w:rsidRDefault="006B549F" w:rsidP="006B549F">
      <w:pPr>
        <w:pStyle w:val="Akapitzlist"/>
        <w:spacing w:after="0"/>
        <w:ind w:left="284"/>
        <w:jc w:val="both"/>
        <w:rPr>
          <w:rFonts w:ascii="Times New Roman" w:hAnsi="Times New Roman" w:cs="Times New Roman"/>
          <w:color w:val="FF0000"/>
          <w:sz w:val="24"/>
          <w:szCs w:val="24"/>
        </w:rPr>
      </w:pPr>
    </w:p>
    <w:p w:rsidR="006B549F" w:rsidRPr="00626300" w:rsidRDefault="006B549F" w:rsidP="006B549F">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6B549F" w:rsidRPr="00626300" w:rsidRDefault="006B549F" w:rsidP="00B15EEE">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6B549F" w:rsidRPr="00626300" w:rsidRDefault="006B549F" w:rsidP="006B549F">
      <w:pPr>
        <w:pStyle w:val="Akapitzlist"/>
        <w:spacing w:after="0"/>
        <w:ind w:left="360"/>
        <w:jc w:val="both"/>
        <w:rPr>
          <w:rFonts w:ascii="Times New Roman" w:hAnsi="Times New Roman" w:cs="Times New Roman"/>
          <w:i/>
          <w:sz w:val="24"/>
          <w:szCs w:val="24"/>
        </w:rPr>
      </w:pPr>
    </w:p>
    <w:p w:rsidR="006B549F" w:rsidRPr="00DA7428" w:rsidRDefault="00303D44" w:rsidP="00B15EEE">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6B549F" w:rsidRPr="00DA7428">
        <w:rPr>
          <w:rFonts w:ascii="Times New Roman" w:hAnsi="Times New Roman" w:cs="Times New Roman"/>
          <w:sz w:val="24"/>
          <w:szCs w:val="24"/>
        </w:rPr>
        <w:t xml:space="preserve"> Sołtysa lub członka Rady Sołeckiej następuje w głosowaniu tajnym, </w:t>
      </w:r>
      <w:r w:rsidR="006B549F">
        <w:rPr>
          <w:rFonts w:ascii="Times New Roman" w:hAnsi="Times New Roman" w:cs="Times New Roman"/>
          <w:sz w:val="24"/>
          <w:szCs w:val="24"/>
        </w:rPr>
        <w:t xml:space="preserve">                             </w:t>
      </w:r>
      <w:r>
        <w:rPr>
          <w:rFonts w:ascii="Times New Roman" w:hAnsi="Times New Roman" w:cs="Times New Roman"/>
          <w:sz w:val="24"/>
          <w:szCs w:val="24"/>
        </w:rPr>
        <w:t>w którym</w:t>
      </w:r>
      <w:r w:rsidR="006B549F"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6B549F" w:rsidRPr="00626300" w:rsidRDefault="006B549F" w:rsidP="006B549F">
      <w:pPr>
        <w:pStyle w:val="Akapitzlist"/>
        <w:spacing w:after="0"/>
        <w:ind w:left="360"/>
        <w:jc w:val="both"/>
        <w:rPr>
          <w:rFonts w:ascii="Times New Roman" w:hAnsi="Times New Roman" w:cs="Times New Roman"/>
          <w:i/>
          <w:sz w:val="24"/>
          <w:szCs w:val="24"/>
        </w:rPr>
      </w:pPr>
    </w:p>
    <w:p w:rsidR="006B549F" w:rsidRPr="00626300" w:rsidRDefault="006B549F" w:rsidP="00B15EEE">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6B549F" w:rsidRPr="00626300" w:rsidRDefault="006B549F" w:rsidP="006B549F">
      <w:pPr>
        <w:pStyle w:val="Akapitzlist"/>
        <w:spacing w:after="0"/>
        <w:ind w:left="360"/>
        <w:jc w:val="both"/>
        <w:rPr>
          <w:rFonts w:ascii="Times New Roman" w:hAnsi="Times New Roman" w:cs="Times New Roman"/>
          <w:i/>
          <w:sz w:val="24"/>
          <w:szCs w:val="24"/>
        </w:rPr>
      </w:pPr>
    </w:p>
    <w:p w:rsidR="006B549F" w:rsidRPr="00626300" w:rsidRDefault="006B549F" w:rsidP="00B15EEE">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6B549F" w:rsidRPr="00626300" w:rsidRDefault="006B549F" w:rsidP="00B15EEE">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303D44">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6B549F" w:rsidRPr="00626300" w:rsidRDefault="006B549F" w:rsidP="00B15EEE">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6B549F" w:rsidRPr="00626300" w:rsidRDefault="006B549F" w:rsidP="00B15EEE">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6B549F" w:rsidRPr="00626300" w:rsidRDefault="006B549F" w:rsidP="006B549F">
      <w:pPr>
        <w:pStyle w:val="Akapitzlist"/>
        <w:ind w:left="284" w:hanging="284"/>
        <w:rPr>
          <w:rFonts w:ascii="Times New Roman" w:hAnsi="Times New Roman" w:cs="Times New Roman"/>
          <w:sz w:val="24"/>
          <w:szCs w:val="24"/>
        </w:rPr>
      </w:pPr>
    </w:p>
    <w:p w:rsidR="006B549F" w:rsidRPr="00626300" w:rsidRDefault="006B549F" w:rsidP="00B15EEE">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6B549F" w:rsidRPr="00626300" w:rsidRDefault="006B549F" w:rsidP="006B549F">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6B549F" w:rsidRPr="00626300" w:rsidRDefault="006B549F" w:rsidP="006B549F">
      <w:pPr>
        <w:spacing w:after="0"/>
        <w:jc w:val="both"/>
        <w:rPr>
          <w:rFonts w:ascii="Times New Roman" w:hAnsi="Times New Roman" w:cs="Times New Roman"/>
          <w:color w:val="FF0000"/>
          <w:sz w:val="24"/>
          <w:szCs w:val="24"/>
        </w:rPr>
      </w:pPr>
    </w:p>
    <w:p w:rsidR="006B549F" w:rsidRPr="00626300" w:rsidRDefault="006B549F" w:rsidP="006B549F">
      <w:pPr>
        <w:pStyle w:val="Akapitzlist"/>
        <w:spacing w:after="0"/>
        <w:ind w:left="360"/>
        <w:jc w:val="both"/>
        <w:rPr>
          <w:rFonts w:ascii="Times New Roman" w:hAnsi="Times New Roman" w:cs="Times New Roman"/>
          <w:i/>
          <w:color w:val="FF0000"/>
          <w:sz w:val="24"/>
          <w:szCs w:val="24"/>
        </w:rPr>
      </w:pPr>
    </w:p>
    <w:p w:rsidR="006B549F" w:rsidRPr="00626300" w:rsidRDefault="006B549F" w:rsidP="006B549F">
      <w:pPr>
        <w:pStyle w:val="Akapitzlist"/>
        <w:spacing w:after="0"/>
        <w:ind w:left="360"/>
        <w:jc w:val="both"/>
        <w:rPr>
          <w:rFonts w:ascii="Times New Roman" w:hAnsi="Times New Roman" w:cs="Times New Roman"/>
          <w:i/>
          <w:color w:val="FF0000"/>
          <w:sz w:val="24"/>
          <w:szCs w:val="24"/>
        </w:rPr>
      </w:pPr>
    </w:p>
    <w:p w:rsidR="006B549F" w:rsidRPr="00626300" w:rsidRDefault="006B549F" w:rsidP="006B549F">
      <w:pPr>
        <w:pStyle w:val="Akapitzlist"/>
        <w:spacing w:after="0"/>
        <w:ind w:left="360"/>
        <w:jc w:val="both"/>
        <w:rPr>
          <w:rFonts w:ascii="Times New Roman" w:hAnsi="Times New Roman" w:cs="Times New Roman"/>
          <w:i/>
          <w:color w:val="FF0000"/>
          <w:sz w:val="24"/>
          <w:szCs w:val="24"/>
        </w:rPr>
      </w:pPr>
    </w:p>
    <w:p w:rsidR="006B549F" w:rsidRPr="00626300" w:rsidRDefault="006B549F" w:rsidP="006B549F">
      <w:pPr>
        <w:pStyle w:val="Akapitzlist"/>
        <w:spacing w:after="0"/>
        <w:ind w:left="360"/>
        <w:jc w:val="both"/>
        <w:rPr>
          <w:rFonts w:ascii="Times New Roman" w:hAnsi="Times New Roman" w:cs="Times New Roman"/>
          <w:i/>
          <w:color w:val="FF0000"/>
          <w:sz w:val="24"/>
          <w:szCs w:val="24"/>
        </w:rPr>
      </w:pPr>
    </w:p>
    <w:p w:rsidR="006B549F" w:rsidRPr="00626300" w:rsidRDefault="006B549F" w:rsidP="006B549F">
      <w:pPr>
        <w:pStyle w:val="Akapitzlist"/>
        <w:spacing w:after="0"/>
        <w:ind w:left="360"/>
        <w:jc w:val="both"/>
        <w:rPr>
          <w:rFonts w:ascii="Times New Roman" w:hAnsi="Times New Roman" w:cs="Times New Roman"/>
          <w:i/>
          <w:color w:val="FF0000"/>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6B549F" w:rsidRPr="00626300" w:rsidRDefault="006B549F" w:rsidP="00B15EEE">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6B549F" w:rsidRPr="00626300" w:rsidRDefault="006B549F" w:rsidP="00B15EEE">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6B549F" w:rsidRPr="00626300" w:rsidRDefault="006B549F" w:rsidP="00B15EEE">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6B549F" w:rsidRPr="00626300" w:rsidRDefault="006B549F" w:rsidP="00B15EEE">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6B549F" w:rsidRPr="00626300" w:rsidRDefault="006B549F" w:rsidP="00B15EEE">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6B549F" w:rsidRPr="00626300" w:rsidRDefault="006B549F" w:rsidP="00B15EEE">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6B549F" w:rsidRPr="00626300" w:rsidRDefault="006B549F" w:rsidP="00B15EEE">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6B549F" w:rsidRPr="00626300" w:rsidRDefault="006B549F" w:rsidP="00B15EEE">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6B549F" w:rsidRPr="00626300" w:rsidRDefault="006B549F" w:rsidP="00B15EEE">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6B549F" w:rsidRPr="00626300" w:rsidRDefault="006B549F" w:rsidP="00B15EEE">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6B549F" w:rsidRPr="00626300" w:rsidRDefault="006B549F" w:rsidP="006B549F">
      <w:pPr>
        <w:spacing w:after="0"/>
        <w:jc w:val="both"/>
        <w:rPr>
          <w:rFonts w:ascii="Times New Roman" w:hAnsi="Times New Roman" w:cs="Times New Roman"/>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6B549F" w:rsidRPr="00626300" w:rsidRDefault="006B549F" w:rsidP="00B15EEE">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6B549F" w:rsidRPr="00626300" w:rsidRDefault="006B549F" w:rsidP="00B15EEE">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6B549F" w:rsidRPr="00626300" w:rsidRDefault="006B549F" w:rsidP="00B15EEE">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6B549F" w:rsidRPr="00626300" w:rsidRDefault="006B549F" w:rsidP="00B15EEE">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6B549F" w:rsidRPr="00626300" w:rsidRDefault="006B549F" w:rsidP="00B15EEE">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B15EEE">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6B549F" w:rsidRPr="00626300" w:rsidRDefault="006B549F" w:rsidP="006B549F">
      <w:pPr>
        <w:pStyle w:val="Akapitzlist"/>
        <w:spacing w:after="0"/>
        <w:jc w:val="both"/>
        <w:rPr>
          <w:rFonts w:ascii="Times New Roman" w:hAnsi="Times New Roman" w:cs="Times New Roman"/>
          <w:sz w:val="24"/>
          <w:szCs w:val="24"/>
        </w:rPr>
      </w:pPr>
    </w:p>
    <w:p w:rsidR="006B549F" w:rsidRPr="00626300" w:rsidRDefault="006B549F" w:rsidP="00B15EEE">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303D44">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6B549F" w:rsidRPr="00626300" w:rsidRDefault="006B549F" w:rsidP="00B15EEE">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6B549F"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6B549F" w:rsidRPr="00626300" w:rsidRDefault="006B549F" w:rsidP="00B15EEE">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6B549F" w:rsidRPr="00626300" w:rsidRDefault="006B549F" w:rsidP="006B549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6B549F" w:rsidRPr="00626300" w:rsidRDefault="006B549F" w:rsidP="00B15EEE">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6B549F" w:rsidRPr="00626300" w:rsidRDefault="006B549F" w:rsidP="006B549F">
      <w:pPr>
        <w:spacing w:after="0"/>
        <w:ind w:left="284" w:hanging="284"/>
        <w:jc w:val="both"/>
        <w:rPr>
          <w:rFonts w:ascii="Times New Roman" w:hAnsi="Times New Roman" w:cs="Times New Roman"/>
          <w:sz w:val="24"/>
          <w:szCs w:val="24"/>
        </w:rPr>
      </w:pPr>
    </w:p>
    <w:p w:rsidR="006B549F" w:rsidRPr="00626300" w:rsidRDefault="006B549F" w:rsidP="00B15EEE">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6B549F" w:rsidRPr="00626300" w:rsidRDefault="006B549F" w:rsidP="00B15EEE">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6B549F" w:rsidRPr="00626300" w:rsidRDefault="006B549F" w:rsidP="00B15EEE">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B15EEE">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6B549F" w:rsidRPr="00626300" w:rsidRDefault="006B549F" w:rsidP="006B549F">
      <w:pPr>
        <w:spacing w:after="0"/>
        <w:jc w:val="both"/>
        <w:rPr>
          <w:rFonts w:ascii="Times New Roman" w:hAnsi="Times New Roman" w:cs="Times New Roman"/>
          <w:sz w:val="24"/>
          <w:szCs w:val="24"/>
        </w:rPr>
      </w:pPr>
    </w:p>
    <w:p w:rsidR="006B549F" w:rsidRPr="00303D44" w:rsidRDefault="006B549F" w:rsidP="006B549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303D44" w:rsidRDefault="00303D44"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6B549F" w:rsidRPr="00626300" w:rsidRDefault="006B549F" w:rsidP="006B549F">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6B549F" w:rsidRPr="00626300" w:rsidRDefault="006B549F" w:rsidP="006B549F">
      <w:pPr>
        <w:spacing w:after="0"/>
        <w:jc w:val="both"/>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6B549F" w:rsidRPr="00626300" w:rsidRDefault="006B549F" w:rsidP="006B549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pStyle w:val="Akapitzlist"/>
        <w:spacing w:after="0"/>
        <w:ind w:left="284"/>
        <w:jc w:val="both"/>
        <w:rPr>
          <w:rFonts w:ascii="Times New Roman" w:hAnsi="Times New Roman" w:cs="Times New Roman"/>
          <w:sz w:val="24"/>
          <w:szCs w:val="24"/>
        </w:rPr>
      </w:pPr>
    </w:p>
    <w:p w:rsidR="006B549F" w:rsidRPr="00626300" w:rsidRDefault="006B549F" w:rsidP="006B549F">
      <w:pPr>
        <w:pStyle w:val="Akapitzlist"/>
        <w:rPr>
          <w:rFonts w:ascii="Times New Roman" w:hAnsi="Times New Roman" w:cs="Times New Roman"/>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6B549F" w:rsidRPr="00626300" w:rsidRDefault="006B549F" w:rsidP="006B549F">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67" w:rsidRDefault="004E1667" w:rsidP="006B549F">
      <w:pPr>
        <w:spacing w:after="0" w:line="240" w:lineRule="auto"/>
      </w:pPr>
      <w:r>
        <w:separator/>
      </w:r>
    </w:p>
  </w:endnote>
  <w:endnote w:type="continuationSeparator" w:id="0">
    <w:p w:rsidR="004E1667" w:rsidRDefault="004E1667" w:rsidP="006B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35" w:rsidRDefault="004868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B15EEE">
        <w:pPr>
          <w:pStyle w:val="Stopka"/>
          <w:jc w:val="center"/>
        </w:pPr>
        <w:r>
          <w:fldChar w:fldCharType="begin"/>
        </w:r>
        <w:r>
          <w:instrText>PAGE   \* MERGEFORMAT</w:instrText>
        </w:r>
        <w:r>
          <w:fldChar w:fldCharType="separate"/>
        </w:r>
        <w:r w:rsidR="00486835">
          <w:rPr>
            <w:noProof/>
          </w:rPr>
          <w:t>18</w:t>
        </w:r>
        <w:r>
          <w:fldChar w:fldCharType="end"/>
        </w:r>
      </w:p>
    </w:sdtContent>
  </w:sdt>
  <w:p w:rsidR="004A0AC9" w:rsidRDefault="004E166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35" w:rsidRDefault="004868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67" w:rsidRDefault="004E1667" w:rsidP="006B549F">
      <w:pPr>
        <w:spacing w:after="0" w:line="240" w:lineRule="auto"/>
      </w:pPr>
      <w:r>
        <w:separator/>
      </w:r>
    </w:p>
  </w:footnote>
  <w:footnote w:type="continuationSeparator" w:id="0">
    <w:p w:rsidR="004E1667" w:rsidRDefault="004E1667" w:rsidP="006B5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35" w:rsidRDefault="004868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4E1667"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B15EEE" w:rsidP="00A81049">
    <w:pPr>
      <w:pStyle w:val="Nagwek"/>
      <w:jc w:val="right"/>
    </w:pPr>
    <w:r>
      <w:t xml:space="preserve">Załącznik Nr </w:t>
    </w:r>
    <w:r w:rsidR="006B549F">
      <w:t>9</w:t>
    </w:r>
    <w:r>
      <w:t xml:space="preserve"> do </w:t>
    </w:r>
    <w:r w:rsidR="00486835">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9F"/>
    <w:rsid w:val="00303D44"/>
    <w:rsid w:val="00486835"/>
    <w:rsid w:val="004E1667"/>
    <w:rsid w:val="00590B27"/>
    <w:rsid w:val="006B549F"/>
    <w:rsid w:val="00883147"/>
    <w:rsid w:val="00B15EEE"/>
    <w:rsid w:val="00BE4207"/>
    <w:rsid w:val="00F47BC8"/>
    <w:rsid w:val="00FF7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718F-0247-44F3-A018-BA34EE3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49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549F"/>
    <w:pPr>
      <w:ind w:left="720"/>
      <w:contextualSpacing/>
    </w:pPr>
  </w:style>
  <w:style w:type="paragraph" w:styleId="Nagwek">
    <w:name w:val="header"/>
    <w:basedOn w:val="Normalny"/>
    <w:link w:val="NagwekZnak"/>
    <w:uiPriority w:val="99"/>
    <w:unhideWhenUsed/>
    <w:rsid w:val="006B54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49F"/>
    <w:rPr>
      <w:rFonts w:eastAsiaTheme="minorEastAsia"/>
      <w:lang w:eastAsia="pl-PL"/>
    </w:rPr>
  </w:style>
  <w:style w:type="paragraph" w:styleId="Stopka">
    <w:name w:val="footer"/>
    <w:basedOn w:val="Normalny"/>
    <w:link w:val="StopkaZnak"/>
    <w:uiPriority w:val="99"/>
    <w:unhideWhenUsed/>
    <w:rsid w:val="006B54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49F"/>
    <w:rPr>
      <w:rFonts w:eastAsiaTheme="minorEastAsia"/>
      <w:lang w:eastAsia="pl-PL"/>
    </w:rPr>
  </w:style>
  <w:style w:type="character" w:styleId="Wyrnieniedelikatne">
    <w:name w:val="Subtle Emphasis"/>
    <w:basedOn w:val="Domylnaczcionkaakapitu"/>
    <w:uiPriority w:val="19"/>
    <w:qFormat/>
    <w:rsid w:val="006B549F"/>
    <w:rPr>
      <w:i/>
      <w:iCs/>
      <w:color w:val="404040" w:themeColor="text1" w:themeTint="BF"/>
    </w:rPr>
  </w:style>
  <w:style w:type="paragraph" w:styleId="Tekstdymka">
    <w:name w:val="Balloon Text"/>
    <w:basedOn w:val="Normalny"/>
    <w:link w:val="TekstdymkaZnak"/>
    <w:uiPriority w:val="99"/>
    <w:semiHidden/>
    <w:unhideWhenUsed/>
    <w:rsid w:val="006B54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49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4949</Words>
  <Characters>29699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6</cp:revision>
  <cp:lastPrinted>2022-08-16T06:42:00Z</cp:lastPrinted>
  <dcterms:created xsi:type="dcterms:W3CDTF">2022-08-12T11:43:00Z</dcterms:created>
  <dcterms:modified xsi:type="dcterms:W3CDTF">2022-08-17T07:56:00Z</dcterms:modified>
</cp:coreProperties>
</file>